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EC997">
      <w:pPr>
        <w:widowControl/>
        <w:spacing w:after="312" w:afterLines="100" w:line="240" w:lineRule="atLeast"/>
        <w:jc w:val="center"/>
        <w:rPr>
          <w:rFonts w:ascii="Times New Roman" w:hAnsi="Times New Roman" w:eastAsia="方正小标宋_GBK"/>
          <w:color w:val="221E1F"/>
          <w:kern w:val="0"/>
          <w:sz w:val="36"/>
          <w:szCs w:val="36"/>
          <w:u w:color="000000"/>
        </w:rPr>
      </w:pPr>
      <w:r>
        <w:rPr>
          <w:rFonts w:ascii="Times New Roman" w:hAnsi="Times New Roman" w:eastAsia="方正小标宋_GBK"/>
          <w:color w:val="221E1F"/>
          <w:kern w:val="0"/>
          <w:sz w:val="36"/>
          <w:szCs w:val="36"/>
          <w:u w:color="000000"/>
        </w:rPr>
        <w:t>2024</w:t>
      </w:r>
      <w:r>
        <w:rPr>
          <w:rFonts w:hint="eastAsia" w:ascii="Times New Roman" w:hAnsi="Times New Roman" w:eastAsia="方正小标宋_GBK"/>
          <w:color w:val="221E1F"/>
          <w:kern w:val="0"/>
          <w:sz w:val="36"/>
          <w:szCs w:val="36"/>
          <w:u w:color="000000"/>
        </w:rPr>
        <w:t>年度江苏省好新闻（媒体融合）参评作品推荐表</w:t>
      </w:r>
    </w:p>
    <w:tbl>
      <w:tblPr>
        <w:tblStyle w:val="5"/>
        <w:tblpPr w:leftFromText="180" w:rightFromText="180" w:vertAnchor="page" w:horzAnchor="page" w:tblpXSpec="center" w:tblpY="3497"/>
        <w:tblOverlap w:val="never"/>
        <w:tblW w:w="100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5"/>
        <w:gridCol w:w="1347"/>
        <w:gridCol w:w="2017"/>
        <w:gridCol w:w="1545"/>
        <w:gridCol w:w="1320"/>
        <w:gridCol w:w="2319"/>
      </w:tblGrid>
      <w:tr w14:paraId="2155D8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545" w:type="dxa"/>
            <w:vAlign w:val="center"/>
          </w:tcPr>
          <w:p w14:paraId="07888F6F">
            <w:pPr>
              <w:pStyle w:val="12"/>
              <w:framePr w:hSpace="0" w:wrap="auto" w:vAnchor="margin" w:hAnchor="text" w:xAlign="left" w:yAlign="inline"/>
              <w:ind w:firstLine="240" w:firstLineChars="100"/>
              <w:rPr>
                <w:sz w:val="22"/>
              </w:rPr>
            </w:pPr>
            <w:r>
              <w:rPr>
                <w:rFonts w:hint="eastAsia"/>
              </w:rPr>
              <w:t>作品标题</w:t>
            </w:r>
          </w:p>
        </w:tc>
        <w:tc>
          <w:tcPr>
            <w:tcW w:w="4909" w:type="dxa"/>
            <w:gridSpan w:val="3"/>
            <w:vAlign w:val="center"/>
          </w:tcPr>
          <w:p w14:paraId="1CF3462E">
            <w:pPr>
              <w:pStyle w:val="12"/>
              <w:framePr w:hSpace="0" w:wrap="auto" w:vAnchor="margin" w:hAnchor="text" w:xAlign="left" w:yAlign="inline"/>
              <w:jc w:val="center"/>
            </w:pPr>
            <w:r>
              <w:t>一定会有下一个</w:t>
            </w:r>
          </w:p>
        </w:tc>
        <w:tc>
          <w:tcPr>
            <w:tcW w:w="1320" w:type="dxa"/>
            <w:vAlign w:val="center"/>
          </w:tcPr>
          <w:p w14:paraId="3BD816AC">
            <w:pPr>
              <w:pStyle w:val="12"/>
              <w:framePr w:hSpace="0" w:wrap="auto" w:vAnchor="margin" w:hAnchor="text" w:xAlign="left" w:yAlign="inline"/>
              <w:ind w:firstLine="120" w:firstLineChars="50"/>
            </w:pPr>
            <w:r>
              <w:rPr>
                <w:rFonts w:hint="eastAsia"/>
              </w:rPr>
              <w:t>评选项目</w:t>
            </w:r>
          </w:p>
        </w:tc>
        <w:tc>
          <w:tcPr>
            <w:tcW w:w="2319" w:type="dxa"/>
            <w:vAlign w:val="center"/>
          </w:tcPr>
          <w:p w14:paraId="6BEA94A8">
            <w:pPr>
              <w:pStyle w:val="12"/>
              <w:framePr w:hSpace="0" w:wrap="auto" w:vAnchor="margin" w:hAnchor="text" w:xAlign="left" w:yAlign="inline"/>
              <w:ind w:firstLine="840" w:firstLineChars="35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新闻专题</w:t>
            </w:r>
          </w:p>
        </w:tc>
      </w:tr>
      <w:tr w14:paraId="77BAB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  <w:jc w:val="center"/>
        </w:trPr>
        <w:tc>
          <w:tcPr>
            <w:tcW w:w="1545" w:type="dxa"/>
            <w:vAlign w:val="center"/>
          </w:tcPr>
          <w:p w14:paraId="755FC738">
            <w:pPr>
              <w:spacing w:line="320" w:lineRule="exact"/>
              <w:jc w:val="center"/>
              <w:rPr>
                <w:rFonts w:ascii="宋体" w:hAnsi="宋体" w:eastAsia="宋体"/>
                <w:spacing w:val="-12"/>
                <w:sz w:val="24"/>
                <w:szCs w:val="24"/>
                <w:lang w:val="zh-TW" w:eastAsia="zh-TW"/>
              </w:rPr>
            </w:pPr>
            <w:r>
              <w:rPr>
                <w:rFonts w:hint="eastAsia" w:ascii="宋体" w:hAnsi="宋体" w:eastAsia="宋体"/>
                <w:spacing w:val="-12"/>
                <w:sz w:val="24"/>
                <w:szCs w:val="24"/>
              </w:rPr>
              <w:t>专门项</w:t>
            </w:r>
            <w:r>
              <w:rPr>
                <w:rFonts w:hint="eastAsia" w:ascii="宋体" w:hAnsi="宋体" w:eastAsia="宋体"/>
                <w:spacing w:val="-12"/>
                <w:sz w:val="24"/>
                <w:szCs w:val="24"/>
                <w:lang w:val="zh-TW" w:eastAsia="zh-TW"/>
              </w:rPr>
              <w:t>类别</w:t>
            </w:r>
          </w:p>
          <w:p w14:paraId="766AA0EF">
            <w:pPr>
              <w:spacing w:line="320" w:lineRule="exact"/>
              <w:jc w:val="center"/>
              <w:rPr>
                <w:rFonts w:ascii="宋体" w:hAnsi="宋体" w:eastAsia="宋体"/>
                <w:spacing w:val="-12"/>
                <w:sz w:val="28"/>
                <w:szCs w:val="28"/>
                <w:lang w:val="zh-TW"/>
              </w:rPr>
            </w:pPr>
            <w:r>
              <w:rPr>
                <w:rFonts w:hint="eastAsia" w:ascii="宋体" w:hAnsi="宋体" w:eastAsia="宋体"/>
                <w:color w:val="262626"/>
                <w:spacing w:val="-12"/>
                <w:sz w:val="24"/>
                <w:szCs w:val="24"/>
                <w:lang w:val="zh-TW"/>
              </w:rPr>
              <w:t>（</w:t>
            </w:r>
            <w:r>
              <w:rPr>
                <w:rFonts w:hint="eastAsia" w:ascii="宋体" w:hAnsi="宋体" w:eastAsia="宋体"/>
                <w:color w:val="262626"/>
                <w:spacing w:val="-12"/>
                <w:sz w:val="24"/>
                <w:szCs w:val="24"/>
              </w:rPr>
              <w:t>可选填</w:t>
            </w:r>
            <w:r>
              <w:rPr>
                <w:rFonts w:hint="eastAsia" w:ascii="宋体" w:hAnsi="宋体" w:eastAsia="宋体"/>
                <w:color w:val="262626"/>
                <w:spacing w:val="-12"/>
                <w:sz w:val="24"/>
                <w:szCs w:val="24"/>
                <w:lang w:val="zh-TW"/>
              </w:rPr>
              <w:t>）</w:t>
            </w:r>
          </w:p>
        </w:tc>
        <w:tc>
          <w:tcPr>
            <w:tcW w:w="4909" w:type="dxa"/>
            <w:gridSpan w:val="3"/>
            <w:vAlign w:val="center"/>
          </w:tcPr>
          <w:p w14:paraId="73ACD8BF">
            <w:pPr>
              <w:spacing w:line="320" w:lineRule="exact"/>
              <w:ind w:firstLine="240" w:firstLineChars="100"/>
              <w:jc w:val="lef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重大主题报道（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国际传播（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  <w:p w14:paraId="49041531">
            <w:pPr>
              <w:spacing w:line="320" w:lineRule="exact"/>
              <w:ind w:firstLine="240" w:firstLineChars="100"/>
              <w:jc w:val="left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典型报道（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舆论监督报道（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）</w:t>
            </w:r>
          </w:p>
        </w:tc>
        <w:tc>
          <w:tcPr>
            <w:tcW w:w="1320" w:type="dxa"/>
            <w:vAlign w:val="center"/>
          </w:tcPr>
          <w:p w14:paraId="3CADD1BE">
            <w:pPr>
              <w:spacing w:line="32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字数</w:t>
            </w:r>
          </w:p>
          <w:p w14:paraId="735430CD">
            <w:pPr>
              <w:spacing w:line="32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（时长）</w:t>
            </w:r>
          </w:p>
        </w:tc>
        <w:tc>
          <w:tcPr>
            <w:tcW w:w="2319" w:type="dxa"/>
            <w:vAlign w:val="center"/>
          </w:tcPr>
          <w:p w14:paraId="7FE10CF3">
            <w:pPr>
              <w:spacing w:line="240" w:lineRule="atLeast"/>
              <w:jc w:val="center"/>
              <w:rPr>
                <w:rFonts w:ascii="宋体" w:hAnsi="宋体" w:eastAsia="宋体"/>
                <w:bCs/>
                <w:color w:val="262626"/>
                <w:sz w:val="24"/>
                <w:szCs w:val="24"/>
                <w:u w:color="000000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3782个字</w:t>
            </w:r>
          </w:p>
        </w:tc>
      </w:tr>
      <w:tr w14:paraId="2BE9D3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  <w:jc w:val="center"/>
        </w:trPr>
        <w:tc>
          <w:tcPr>
            <w:tcW w:w="1545" w:type="dxa"/>
            <w:vAlign w:val="center"/>
          </w:tcPr>
          <w:p w14:paraId="50F60A1B">
            <w:pPr>
              <w:pStyle w:val="12"/>
              <w:framePr w:hSpace="0" w:wrap="auto" w:vAnchor="margin" w:hAnchor="text" w:xAlign="left" w:yAlign="inline"/>
              <w:ind w:firstLine="240" w:firstLineChars="100"/>
            </w:pPr>
            <w:r>
              <w:rPr>
                <w:rFonts w:hint="eastAsia"/>
              </w:rPr>
              <w:t>作</w:t>
            </w:r>
            <w:r>
              <w:tab/>
            </w:r>
            <w:r>
              <w:rPr>
                <w:lang w:val="en-US"/>
              </w:rPr>
              <w:t xml:space="preserve">  </w:t>
            </w:r>
            <w:r>
              <w:rPr>
                <w:rFonts w:hint="eastAsia"/>
              </w:rPr>
              <w:t>者</w:t>
            </w:r>
          </w:p>
          <w:p w14:paraId="09EE8DCC">
            <w:pPr>
              <w:pStyle w:val="12"/>
              <w:framePr w:hSpace="0" w:wrap="auto" w:vAnchor="margin" w:hAnchor="text" w:xAlign="left" w:yAlign="inline"/>
            </w:pPr>
            <w:r>
              <w:rPr>
                <w:rFonts w:hint="eastAsia"/>
              </w:rPr>
              <w:t>（主创人员）</w:t>
            </w:r>
          </w:p>
        </w:tc>
        <w:tc>
          <w:tcPr>
            <w:tcW w:w="3364" w:type="dxa"/>
            <w:gridSpan w:val="2"/>
            <w:vAlign w:val="center"/>
          </w:tcPr>
          <w:p w14:paraId="1FC27260">
            <w:pPr>
              <w:pStyle w:val="12"/>
              <w:framePr w:hSpace="0" w:wrap="auto" w:vAnchor="margin" w:hAnchor="text" w:xAlign="left" w:yAlign="inline"/>
              <w:jc w:val="center"/>
            </w:pPr>
            <w:r>
              <w:rPr>
                <w:rFonts w:hint="eastAsia" w:cs="宋体"/>
                <w:lang w:val="en-US"/>
              </w:rPr>
              <w:t>洪云菊、金嫣</w:t>
            </w:r>
          </w:p>
        </w:tc>
        <w:tc>
          <w:tcPr>
            <w:tcW w:w="1545" w:type="dxa"/>
            <w:vAlign w:val="center"/>
          </w:tcPr>
          <w:p w14:paraId="01AA8740">
            <w:pPr>
              <w:pStyle w:val="12"/>
              <w:framePr w:hSpace="0" w:wrap="auto" w:vAnchor="margin" w:hAnchor="text" w:xAlign="left" w:yAlign="inline"/>
              <w:ind w:firstLine="360" w:firstLineChars="150"/>
            </w:pPr>
            <w:r>
              <w:rPr>
                <w:rFonts w:hint="eastAsia"/>
              </w:rPr>
              <w:t>编</w:t>
            </w:r>
            <w:r>
              <w:rPr>
                <w:lang w:val="en-US"/>
              </w:rPr>
              <w:t xml:space="preserve">   </w:t>
            </w:r>
            <w:r>
              <w:rPr>
                <w:rFonts w:hint="eastAsia"/>
              </w:rPr>
              <w:t>辑</w:t>
            </w:r>
          </w:p>
        </w:tc>
        <w:tc>
          <w:tcPr>
            <w:tcW w:w="3639" w:type="dxa"/>
            <w:gridSpan w:val="2"/>
            <w:vAlign w:val="center"/>
          </w:tcPr>
          <w:p w14:paraId="06134279">
            <w:pPr>
              <w:pStyle w:val="12"/>
              <w:framePr w:hSpace="0" w:wrap="auto" w:vAnchor="margin" w:hAnchor="text" w:xAlign="left" w:yAlign="inline"/>
              <w:jc w:val="center"/>
            </w:pPr>
            <w:r>
              <w:rPr>
                <w:rFonts w:hint="eastAsia" w:cs="宋体"/>
                <w:lang w:val="en-US"/>
              </w:rPr>
              <w:t>梁娜、张力伟</w:t>
            </w:r>
          </w:p>
        </w:tc>
      </w:tr>
      <w:tr w14:paraId="44C58A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  <w:jc w:val="center"/>
        </w:trPr>
        <w:tc>
          <w:tcPr>
            <w:tcW w:w="1545" w:type="dxa"/>
            <w:vAlign w:val="center"/>
          </w:tcPr>
          <w:p w14:paraId="4462F702">
            <w:pPr>
              <w:pStyle w:val="12"/>
              <w:framePr w:hSpace="0" w:wrap="auto" w:vAnchor="margin" w:hAnchor="text" w:xAlign="left" w:yAlign="inline"/>
              <w:ind w:firstLine="240" w:firstLineChars="100"/>
              <w:jc w:val="center"/>
            </w:pPr>
            <w:r>
              <w:rPr>
                <w:rFonts w:hint="eastAsia"/>
              </w:rPr>
              <w:t>原创单位</w:t>
            </w:r>
          </w:p>
        </w:tc>
        <w:tc>
          <w:tcPr>
            <w:tcW w:w="3364" w:type="dxa"/>
            <w:gridSpan w:val="2"/>
            <w:vAlign w:val="center"/>
          </w:tcPr>
          <w:p w14:paraId="23AAD072">
            <w:pPr>
              <w:pStyle w:val="12"/>
              <w:framePr w:hSpace="0" w:wrap="auto" w:vAnchor="margin" w:hAnchor="text" w:xAlign="left" w:yAlign="inline"/>
              <w:ind w:firstLine="600" w:firstLineChars="250"/>
            </w:pPr>
            <w:r>
              <w:rPr>
                <w:rFonts w:hint="eastAsia"/>
              </w:rPr>
              <w:t>南京广播电视集团</w:t>
            </w:r>
          </w:p>
        </w:tc>
        <w:tc>
          <w:tcPr>
            <w:tcW w:w="1545" w:type="dxa"/>
            <w:vAlign w:val="center"/>
          </w:tcPr>
          <w:p w14:paraId="6B0B76EF">
            <w:pPr>
              <w:pStyle w:val="12"/>
              <w:framePr w:hSpace="0" w:wrap="auto" w:vAnchor="margin" w:hAnchor="text" w:xAlign="left" w:yAlign="inline"/>
              <w:ind w:firstLine="240" w:firstLineChars="100"/>
            </w:pPr>
            <w:r>
              <w:rPr>
                <w:rFonts w:hint="eastAsia"/>
              </w:rPr>
              <w:t>刊播单位</w:t>
            </w:r>
          </w:p>
        </w:tc>
        <w:tc>
          <w:tcPr>
            <w:tcW w:w="3639" w:type="dxa"/>
            <w:gridSpan w:val="2"/>
            <w:vAlign w:val="center"/>
          </w:tcPr>
          <w:p w14:paraId="31DEA0A4">
            <w:pPr>
              <w:pStyle w:val="12"/>
              <w:framePr w:hSpace="0" w:wrap="auto" w:vAnchor="margin" w:hAnchor="text" w:xAlign="left" w:yAlign="inline"/>
              <w:jc w:val="both"/>
            </w:pPr>
            <w:r>
              <w:rPr>
                <w:rFonts w:hint="eastAsia" w:cs="宋体"/>
                <w:lang w:val="en-US"/>
              </w:rPr>
              <w:t>牛咔视频APP、“北极阁瞭望”公众号</w:t>
            </w:r>
          </w:p>
        </w:tc>
      </w:tr>
      <w:tr w14:paraId="7B0AC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1545" w:type="dxa"/>
            <w:vAlign w:val="center"/>
          </w:tcPr>
          <w:p w14:paraId="6950993B">
            <w:pPr>
              <w:pStyle w:val="12"/>
              <w:framePr w:hSpace="0" w:wrap="auto" w:vAnchor="margin" w:hAnchor="text" w:xAlign="left" w:yAlign="inline"/>
              <w:ind w:firstLine="240" w:firstLineChars="100"/>
              <w:jc w:val="center"/>
            </w:pPr>
            <w:r>
              <w:rPr>
                <w:rFonts w:hint="eastAsia"/>
              </w:rPr>
              <w:t>刊播版面</w:t>
            </w:r>
          </w:p>
          <w:p w14:paraId="541361B2">
            <w:pPr>
              <w:pStyle w:val="12"/>
              <w:framePr w:hSpace="0" w:wrap="auto" w:vAnchor="margin" w:hAnchor="text" w:xAlign="left" w:yAlign="inline"/>
              <w:jc w:val="center"/>
            </w:pPr>
            <w:r>
              <w:rPr>
                <w:rFonts w:hint="eastAsia"/>
                <w:w w:val="95"/>
              </w:rPr>
              <w:t>（名称和版次）</w:t>
            </w:r>
          </w:p>
        </w:tc>
        <w:tc>
          <w:tcPr>
            <w:tcW w:w="3364" w:type="dxa"/>
            <w:gridSpan w:val="2"/>
            <w:vAlign w:val="center"/>
          </w:tcPr>
          <w:p w14:paraId="0697CDC6">
            <w:pPr>
              <w:pStyle w:val="12"/>
              <w:framePr w:hSpace="0" w:wrap="auto" w:vAnchor="margin" w:hAnchor="text" w:xAlign="left" w:yAlign="inline"/>
              <w:jc w:val="center"/>
            </w:pPr>
            <w:r>
              <w:rPr>
                <w:rFonts w:hint="eastAsia"/>
                <w:w w:val="95"/>
              </w:rPr>
              <w:t>报刊作品填写</w:t>
            </w:r>
          </w:p>
        </w:tc>
        <w:tc>
          <w:tcPr>
            <w:tcW w:w="1545" w:type="dxa"/>
            <w:vAlign w:val="center"/>
          </w:tcPr>
          <w:p w14:paraId="08BDCBD2">
            <w:pPr>
              <w:pStyle w:val="12"/>
              <w:framePr w:hSpace="0" w:wrap="auto" w:vAnchor="margin" w:hAnchor="text" w:xAlign="left" w:yAlign="inline"/>
              <w:ind w:firstLine="240" w:firstLineChars="100"/>
            </w:pPr>
            <w:r>
              <w:rPr>
                <w:rFonts w:hint="eastAsia"/>
              </w:rPr>
              <w:t>刊播日期</w:t>
            </w:r>
          </w:p>
        </w:tc>
        <w:tc>
          <w:tcPr>
            <w:tcW w:w="3639" w:type="dxa"/>
            <w:gridSpan w:val="2"/>
            <w:vAlign w:val="center"/>
          </w:tcPr>
          <w:p w14:paraId="7440F52D">
            <w:pPr>
              <w:pStyle w:val="12"/>
              <w:framePr w:hSpace="0" w:wrap="auto" w:vAnchor="margin" w:hAnchor="text" w:xAlign="left" w:yAlign="inline"/>
              <w:jc w:val="center"/>
            </w:pPr>
            <w:r>
              <w:rPr>
                <w:rFonts w:hint="eastAsia" w:cs="宋体"/>
                <w:lang w:val="en-US"/>
              </w:rPr>
              <w:t>2024年9月4日</w:t>
            </w:r>
          </w:p>
        </w:tc>
      </w:tr>
      <w:tr w14:paraId="49E70E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892" w:type="dxa"/>
            <w:gridSpan w:val="2"/>
            <w:tcBorders>
              <w:right w:val="single" w:color="000000" w:sz="6" w:space="0"/>
            </w:tcBorders>
            <w:vAlign w:val="center"/>
          </w:tcPr>
          <w:p w14:paraId="669713A4">
            <w:pPr>
              <w:pStyle w:val="12"/>
              <w:framePr w:hSpace="0" w:wrap="auto" w:vAnchor="margin" w:hAnchor="text" w:xAlign="left" w:yAlign="inline"/>
              <w:ind w:firstLine="240" w:firstLineChars="100"/>
              <w:jc w:val="center"/>
            </w:pPr>
            <w:r>
              <w:rPr>
                <w:rFonts w:hint="eastAsia"/>
              </w:rPr>
              <w:t>新媒体作品填报网址</w:t>
            </w:r>
          </w:p>
        </w:tc>
        <w:tc>
          <w:tcPr>
            <w:tcW w:w="7201" w:type="dxa"/>
            <w:gridSpan w:val="4"/>
            <w:tcBorders>
              <w:left w:val="single" w:color="000000" w:sz="6" w:space="0"/>
            </w:tcBorders>
            <w:vAlign w:val="center"/>
          </w:tcPr>
          <w:p w14:paraId="4CD95D8F">
            <w:pPr>
              <w:pStyle w:val="12"/>
              <w:framePr w:hSpace="0" w:wrap="auto" w:vAnchor="margin" w:hAnchor="text" w:xAlign="left" w:yAlign="inline"/>
              <w:ind w:firstLine="240" w:firstLineChars="100"/>
              <w:jc w:val="both"/>
              <w:rPr>
                <w:w w:val="95"/>
              </w:rPr>
            </w:pPr>
            <w:r>
              <w:rPr>
                <w:rFonts w:hint="eastAsia" w:cs="宋体"/>
                <w:lang w:val="en-US"/>
              </w:rPr>
              <w:t>https://m2.nbs.cn/article/838817.html</w:t>
            </w:r>
          </w:p>
        </w:tc>
      </w:tr>
      <w:tr w14:paraId="091DC9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0" w:hRule="atLeast"/>
          <w:jc w:val="center"/>
        </w:trPr>
        <w:tc>
          <w:tcPr>
            <w:tcW w:w="1545" w:type="dxa"/>
            <w:vAlign w:val="center"/>
          </w:tcPr>
          <w:p w14:paraId="402E4A8C">
            <w:pPr>
              <w:pStyle w:val="12"/>
              <w:framePr w:hSpace="0" w:wrap="auto" w:vAnchor="margin" w:hAnchor="text" w:xAlign="left" w:yAlign="inline"/>
              <w:ind w:firstLine="240" w:firstLineChars="100"/>
            </w:pPr>
            <w:r>
              <w:rPr>
                <w:rFonts w:hint="eastAsia"/>
              </w:rPr>
              <w:t>采编过程</w:t>
            </w:r>
            <w:r>
              <w:t xml:space="preserve">  </w:t>
            </w:r>
          </w:p>
          <w:p w14:paraId="4AEEB26D">
            <w:pPr>
              <w:pStyle w:val="12"/>
              <w:framePr w:hSpace="0" w:wrap="auto" w:vAnchor="margin" w:hAnchor="text" w:xAlign="left" w:yAlign="inline"/>
              <w:ind w:firstLine="240" w:firstLineChars="100"/>
            </w:pPr>
            <w:r>
              <w:rPr>
                <w:rFonts w:hint="eastAsia"/>
              </w:rPr>
              <w:t>文字简介</w:t>
            </w:r>
          </w:p>
        </w:tc>
        <w:tc>
          <w:tcPr>
            <w:tcW w:w="8548" w:type="dxa"/>
            <w:gridSpan w:val="5"/>
            <w:vAlign w:val="center"/>
          </w:tcPr>
          <w:p w14:paraId="290392A7">
            <w:pPr>
              <w:spacing w:line="380" w:lineRule="exact"/>
              <w:ind w:firstLine="480" w:firstLineChars="200"/>
              <w:jc w:val="left"/>
              <w:rPr>
                <w:rFonts w:ascii="宋体" w:hAnsi="宋体" w:cs="宋体"/>
                <w:sz w:val="24"/>
                <w:lang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ascii="宋体" w:hAnsi="宋体" w:eastAsia="宋体" w:cs="宋体"/>
                <w:sz w:val="24"/>
                <w:szCs w:val="24"/>
              </w:rPr>
              <w:t>024年高考结果公布，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南京秦淮科技高中杨艺腾、周科然两名“随班就读”的视障孩子，取得文科615和理科641的高分，分别被南京师范大学和南京理工大学录取。在普通高中，视障孩子怎么上课、怎么写作业、怎么参加高考，还考上了理想的大学？记者采访了视障孩子及其家长、老师、同学。本篇报道以杨艺腾、周科然“随班就读”的经历为主线，展示诸多细节，如视障考生的试卷翻译、如何融入日常教学等，展示了特殊孩子求学成长的“另一条出路”，同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展示了南京作为“国家特殊教育改革实验区”的探索。</w:t>
            </w:r>
          </w:p>
        </w:tc>
      </w:tr>
      <w:tr w14:paraId="18F48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4" w:hRule="atLeast"/>
          <w:jc w:val="center"/>
        </w:trPr>
        <w:tc>
          <w:tcPr>
            <w:tcW w:w="1545" w:type="dxa"/>
            <w:vAlign w:val="center"/>
          </w:tcPr>
          <w:p w14:paraId="56C987CD">
            <w:pPr>
              <w:pStyle w:val="12"/>
              <w:framePr w:hSpace="0" w:wrap="auto" w:vAnchor="margin" w:hAnchor="text" w:xAlign="left" w:yAlign="inline"/>
              <w:ind w:firstLine="240" w:firstLineChars="100"/>
            </w:pPr>
            <w:r>
              <w:rPr>
                <w:rFonts w:hint="eastAsia"/>
              </w:rPr>
              <w:t>社会效果</w:t>
            </w:r>
          </w:p>
        </w:tc>
        <w:tc>
          <w:tcPr>
            <w:tcW w:w="8548" w:type="dxa"/>
            <w:gridSpan w:val="5"/>
          </w:tcPr>
          <w:p w14:paraId="0C6BA70E">
            <w:pPr>
              <w:spacing w:line="380" w:lineRule="exact"/>
              <w:ind w:firstLine="480" w:firstLineChars="200"/>
              <w:jc w:val="left"/>
              <w:rPr>
                <w:rFonts w:hint="eastAsia" w:ascii="仿宋" w:hAnsi="仿宋" w:eastAsia="仿宋"/>
                <w:w w:val="95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该报道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推出后，引发了广泛关注，特别是特殊孩子的家长们，纷纷转发点赞，甚至前来咨询“随班就读”情况，也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让更多人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知道了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南京的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“融合教育”。</w:t>
            </w:r>
          </w:p>
        </w:tc>
      </w:tr>
      <w:tr w14:paraId="516B8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4" w:hRule="atLeast"/>
          <w:jc w:val="center"/>
        </w:trPr>
        <w:tc>
          <w:tcPr>
            <w:tcW w:w="1545" w:type="dxa"/>
            <w:vAlign w:val="center"/>
          </w:tcPr>
          <w:p w14:paraId="77E8E678">
            <w:pPr>
              <w:pStyle w:val="12"/>
              <w:framePr w:hSpace="0" w:wrap="auto" w:vAnchor="margin" w:hAnchor="text" w:xAlign="left" w:yAlign="inline"/>
              <w:ind w:firstLine="240" w:firstLineChars="100"/>
            </w:pPr>
            <w:r>
              <w:rPr>
                <w:rFonts w:hint="eastAsia"/>
              </w:rPr>
              <w:t>初级评语</w:t>
            </w:r>
          </w:p>
          <w:p w14:paraId="3CDE8886">
            <w:pPr>
              <w:pStyle w:val="12"/>
              <w:framePr w:hSpace="0" w:wrap="auto" w:vAnchor="margin" w:hAnchor="text" w:xAlign="left" w:yAlign="inline"/>
            </w:pPr>
            <w:r>
              <w:rPr>
                <w:rFonts w:hint="eastAsia"/>
              </w:rPr>
              <w:t>（推荐理由）</w:t>
            </w:r>
          </w:p>
        </w:tc>
        <w:tc>
          <w:tcPr>
            <w:tcW w:w="8548" w:type="dxa"/>
            <w:gridSpan w:val="5"/>
          </w:tcPr>
          <w:p w14:paraId="78EC005A">
            <w:pPr>
              <w:pStyle w:val="12"/>
              <w:framePr w:hSpace="0" w:wrap="auto" w:vAnchor="margin" w:hAnchor="text" w:xAlign="left" w:yAlign="inline"/>
              <w:ind w:firstLine="480" w:firstLineChars="200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报道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向</w:t>
            </w:r>
            <w:r>
              <w:rPr>
                <w:rFonts w:ascii="宋体" w:hAnsi="宋体" w:eastAsia="宋体" w:cs="宋体"/>
                <w:sz w:val="24"/>
                <w:szCs w:val="24"/>
                <w:lang w:eastAsia="zh-Hans"/>
              </w:rPr>
              <w:t>公众展示了特殊孩子求学成长的“另一条出路”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，并</w:t>
            </w:r>
            <w:r>
              <w:rPr>
                <w:rFonts w:ascii="宋体" w:hAnsi="宋体" w:eastAsia="宋体" w:cs="宋体"/>
                <w:sz w:val="24"/>
                <w:szCs w:val="24"/>
                <w:lang w:eastAsia="zh-Hans"/>
              </w:rPr>
              <w:t>得出结论：一定还会有下一个杨艺腾、周科然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  <w:lang w:eastAsia="zh-Hans"/>
              </w:rPr>
              <w:t>让更多人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  <w:lang w:eastAsia="zh-Hans"/>
              </w:rPr>
              <w:t>关注特殊孩子的成长。</w:t>
            </w:r>
          </w:p>
          <w:p w14:paraId="10D673C2">
            <w:pPr>
              <w:pStyle w:val="12"/>
              <w:framePr w:hSpace="0" w:wrap="auto" w:vAnchor="margin" w:hAnchor="text" w:xAlign="left" w:yAlign="inline"/>
              <w:ind w:firstLine="3960" w:firstLineChars="1650"/>
            </w:pPr>
            <w:r>
              <w:rPr>
                <w:rFonts w:hint="eastAsia"/>
              </w:rPr>
              <w:t>单位主要负责人签名：</w:t>
            </w:r>
          </w:p>
          <w:p w14:paraId="0E23A515">
            <w:pPr>
              <w:pStyle w:val="12"/>
              <w:framePr w:hSpace="0" w:wrap="auto" w:vAnchor="margin" w:hAnchor="text" w:xAlign="left" w:yAlign="inline"/>
              <w:ind w:firstLine="4680" w:firstLineChars="1950"/>
            </w:pPr>
            <w:r>
              <w:rPr>
                <w:rFonts w:hint="eastAsia"/>
              </w:rPr>
              <w:t>（盖单</w:t>
            </w:r>
            <w:r>
              <w:rPr>
                <w:rFonts w:hint="eastAsia"/>
                <w:spacing w:val="-3"/>
              </w:rPr>
              <w:t>位</w:t>
            </w:r>
            <w:r>
              <w:rPr>
                <w:rFonts w:hint="eastAsia"/>
              </w:rPr>
              <w:t>公章）</w:t>
            </w:r>
            <w:r>
              <w:t xml:space="preserve"> </w:t>
            </w:r>
          </w:p>
          <w:p w14:paraId="0880D4AC">
            <w:pPr>
              <w:pStyle w:val="12"/>
              <w:framePr w:hSpace="0" w:wrap="auto" w:vAnchor="margin" w:hAnchor="text" w:xAlign="left" w:yAlign="inline"/>
              <w:ind w:firstLine="4934" w:firstLineChars="1788"/>
            </w:pPr>
            <w:r>
              <w:rPr>
                <w:rFonts w:hint="eastAsia"/>
                <w:w w:val="115"/>
              </w:rPr>
              <w:t>年</w:t>
            </w:r>
            <w:r>
              <w:rPr>
                <w:w w:val="115"/>
              </w:rPr>
              <w:t xml:space="preserve">  </w:t>
            </w:r>
            <w:r>
              <w:rPr>
                <w:rFonts w:hint="eastAsia"/>
                <w:w w:val="115"/>
              </w:rPr>
              <w:t>月</w:t>
            </w:r>
            <w:r>
              <w:rPr>
                <w:w w:val="115"/>
              </w:rPr>
              <w:t xml:space="preserve">  </w:t>
            </w:r>
            <w:r>
              <w:rPr>
                <w:rFonts w:hint="eastAsia"/>
                <w:spacing w:val="-19"/>
              </w:rPr>
              <w:t>日</w:t>
            </w:r>
          </w:p>
        </w:tc>
      </w:tr>
      <w:tr w14:paraId="73118A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545" w:type="dxa"/>
            <w:vAlign w:val="center"/>
          </w:tcPr>
          <w:p w14:paraId="26167DA9">
            <w:pPr>
              <w:spacing w:line="400" w:lineRule="exact"/>
              <w:jc w:val="center"/>
              <w:rPr>
                <w:rFonts w:ascii="宋体" w:hAnsi="宋体" w:eastAsia="宋体"/>
                <w:color w:val="000000"/>
                <w:sz w:val="24"/>
                <w:szCs w:val="24"/>
                <w:u w:color="000000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color="000000"/>
                <w:lang w:val="zh-CN"/>
              </w:rPr>
              <w:t>联系人</w:t>
            </w:r>
          </w:p>
        </w:tc>
        <w:tc>
          <w:tcPr>
            <w:tcW w:w="3364" w:type="dxa"/>
            <w:gridSpan w:val="2"/>
            <w:vAlign w:val="center"/>
          </w:tcPr>
          <w:p w14:paraId="47DF72B8">
            <w:pPr>
              <w:spacing w:line="400" w:lineRule="exact"/>
              <w:jc w:val="center"/>
              <w:rPr>
                <w:rFonts w:ascii="Times New Roman" w:hAnsi="Times New Roman" w:eastAsia="方正仿宋_GBK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洪云菊</w:t>
            </w:r>
          </w:p>
        </w:tc>
        <w:tc>
          <w:tcPr>
            <w:tcW w:w="1545" w:type="dxa"/>
            <w:vAlign w:val="center"/>
          </w:tcPr>
          <w:p w14:paraId="6240CAC4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color="000000"/>
              </w:rPr>
              <w:t>手机号码</w:t>
            </w:r>
          </w:p>
        </w:tc>
        <w:tc>
          <w:tcPr>
            <w:tcW w:w="3639" w:type="dxa"/>
            <w:gridSpan w:val="2"/>
            <w:vAlign w:val="center"/>
          </w:tcPr>
          <w:p w14:paraId="6AAFBDCE">
            <w:pPr>
              <w:tabs>
                <w:tab w:val="left" w:pos="732"/>
              </w:tabs>
              <w:spacing w:line="400" w:lineRule="exact"/>
              <w:ind w:firstLine="1080" w:firstLineChars="450"/>
              <w:jc w:val="left"/>
              <w:rPr>
                <w:rFonts w:ascii="Times New Roman" w:hAnsi="Times New Roman" w:eastAsia="方正仿宋_GBK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13913043088</w:t>
            </w:r>
          </w:p>
        </w:tc>
      </w:tr>
      <w:tr w14:paraId="32042C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545" w:type="dxa"/>
            <w:vAlign w:val="center"/>
          </w:tcPr>
          <w:p w14:paraId="030154C8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color="000000"/>
              </w:rPr>
              <w:t>地</w:t>
            </w:r>
            <w:r>
              <w:rPr>
                <w:rFonts w:ascii="宋体" w:hAnsi="宋体" w:eastAsia="宋体"/>
                <w:color w:val="000000"/>
                <w:sz w:val="24"/>
                <w:szCs w:val="24"/>
                <w:u w:color="000000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color="000000"/>
              </w:rPr>
              <w:t>址</w:t>
            </w:r>
          </w:p>
        </w:tc>
        <w:tc>
          <w:tcPr>
            <w:tcW w:w="3364" w:type="dxa"/>
            <w:gridSpan w:val="2"/>
            <w:vAlign w:val="center"/>
          </w:tcPr>
          <w:p w14:paraId="651E38F9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南京市龙蟠中路338号</w:t>
            </w:r>
          </w:p>
        </w:tc>
        <w:tc>
          <w:tcPr>
            <w:tcW w:w="1545" w:type="dxa"/>
            <w:vAlign w:val="center"/>
          </w:tcPr>
          <w:p w14:paraId="537C8AC4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u w:color="000000"/>
              </w:rPr>
              <w:t>办公电话</w:t>
            </w:r>
          </w:p>
        </w:tc>
        <w:tc>
          <w:tcPr>
            <w:tcW w:w="3639" w:type="dxa"/>
            <w:gridSpan w:val="2"/>
            <w:vAlign w:val="center"/>
          </w:tcPr>
          <w:p w14:paraId="6BE457AB">
            <w:pPr>
              <w:spacing w:line="40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</w:t>
            </w:r>
            <w:r>
              <w:rPr>
                <w:rFonts w:ascii="宋体" w:hAnsi="宋体" w:eastAsia="宋体"/>
                <w:sz w:val="24"/>
                <w:szCs w:val="24"/>
              </w:rPr>
              <w:t>4631111</w:t>
            </w:r>
          </w:p>
        </w:tc>
      </w:tr>
    </w:tbl>
    <w:p w14:paraId="49449DF7">
      <w:pPr>
        <w:rPr>
          <w:rFonts w:ascii="Times New Roman" w:hAnsi="Times New Roman" w:eastAsia="楷体"/>
          <w:bCs/>
          <w:sz w:val="28"/>
          <w:szCs w:val="28"/>
        </w:rPr>
      </w:pPr>
    </w:p>
    <w:p w14:paraId="686CDF99">
      <w:pPr>
        <w:ind w:firstLine="280"/>
        <w:jc w:val="center"/>
        <w:rPr>
          <w:rFonts w:ascii="Times New Roman" w:hAnsi="Times New Roman" w:eastAsia="楷体"/>
          <w:bCs/>
          <w:sz w:val="28"/>
          <w:szCs w:val="28"/>
        </w:rPr>
      </w:pPr>
    </w:p>
    <w:p w14:paraId="3D4581BD">
      <w:pPr>
        <w:widowControl/>
        <w:shd w:val="clear" w:color="auto" w:fill="FFFFFF"/>
        <w:spacing w:line="480" w:lineRule="atLeast"/>
        <w:jc w:val="left"/>
      </w:pPr>
      <w:r>
        <w:drawing>
          <wp:inline distT="0" distB="0" distL="114300" distR="114300">
            <wp:extent cx="2409825" cy="2409825"/>
            <wp:effectExtent l="0" t="0" r="9525" b="9525"/>
            <wp:docPr id="4" name="图片 4" descr="httpsm2.nbs.cnarticle838817.html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sm2.nbs.cnarticle838817.html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E34BA">
      <w:pPr>
        <w:widowControl/>
        <w:shd w:val="clear" w:color="auto" w:fill="FFFFFF"/>
        <w:spacing w:line="480" w:lineRule="atLeast"/>
        <w:jc w:val="left"/>
      </w:pPr>
    </w:p>
    <w:p w14:paraId="46EED6DD">
      <w:pPr>
        <w:widowControl/>
        <w:shd w:val="clear" w:color="auto" w:fill="FFFFFF"/>
        <w:spacing w:line="480" w:lineRule="atLeast"/>
        <w:jc w:val="left"/>
      </w:pPr>
      <w:r>
        <w:drawing>
          <wp:inline distT="0" distB="0" distL="114300" distR="114300">
            <wp:extent cx="5962015" cy="6558280"/>
            <wp:effectExtent l="0" t="0" r="63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62015" cy="655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3918C">
      <w:pPr>
        <w:widowControl w:val="0"/>
        <w:spacing w:line="30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锐见｜一定会有下一个</w:t>
      </w:r>
    </w:p>
    <w:p w14:paraId="0C0576C0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“视力是你需要解决的问题，但它并不是你的阻碍，而你的知识、你的才学才是你的人生关键。”——杨艺腾</w:t>
      </w:r>
    </w:p>
    <w:p w14:paraId="17B2E48B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“我上课不看黑板，听老师讲基本上也能懂，就是专注。”——周科然</w:t>
      </w:r>
    </w:p>
    <w:p w14:paraId="6F9EF92F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“他看不见，耳朵就是他的眼睛，所以上课特别专注。”——周科然班主任曹烨</w:t>
      </w:r>
    </w:p>
    <w:p w14:paraId="389CE118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9月4日，南京师范大学新生报到，杨艺腾在家人的陪伴下，来到南师大马克思主义学院报到。</w:t>
      </w:r>
    </w:p>
    <w:p w14:paraId="0CFBD346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9月5日，南京理工大学江阴校区新生报到，周科然也将在家人的陪同下，走进自己梦想中的校园。</w:t>
      </w:r>
    </w:p>
    <w:p w14:paraId="641738FC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杨艺腾、周科然都毕业于南京师范大学附属中学秦淮科技高中（注：即秦淮科技高中）。他们都是在普通高中“随班就读”的视障考生，参加了今年的高考，并且都被心仪的大学录取！</w:t>
      </w:r>
    </w:p>
    <w:p w14:paraId="3D18595D">
      <w:pPr>
        <w:widowControl w:val="0"/>
        <w:spacing w:line="30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01自律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能努力做到就不放弃</w:t>
      </w:r>
    </w:p>
    <w:p w14:paraId="69CD6406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在秦淮科技高中高三（10）班前排的一张桌子上，一台特殊的仪器，让这个教室“与众不同”。</w:t>
      </w:r>
    </w:p>
    <w:p w14:paraId="2AA378D5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仪器一端像一盏台灯，另一端连接着一台类似于电脑的显示器，讲台前老师的教学，包括在黑板上写的字，都可以通过“台灯”放大呈现在显示器上。</w:t>
      </w:r>
    </w:p>
    <w:p w14:paraId="159BA7CA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这台机器叫：电子助视器。这个座位也是杨艺腾上课的专属座位，因为需要一直连接电源，三年来，这个座位从来没有挪动过。</w:t>
      </w:r>
    </w:p>
    <w:p w14:paraId="3DE47ACA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今年18岁的杨艺腾，患有先天性视神经萎缩，视力只有0.05左右，即便别人站在他面前，他也只能看到一团模糊的影子。很多像杨艺腾这样的孩子，从小会被送进盲人学校就读。而杨艺腾的父母，则选择从小就把他送进普通学校“随班就读”，接受融合教育。</w:t>
      </w:r>
    </w:p>
    <w:p w14:paraId="284ADBA0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融合教育，通俗来说，就是让特殊孩子和普通孩子在同样的环境里生活和学习。然而，“说”易“做”难。</w:t>
      </w:r>
    </w:p>
    <w:p w14:paraId="1C6621DA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就拿最简单的读书写字来说，别人两三秒读完一行，杨艺腾要把字放在助视器下一个一个慢慢地放大看，读完一行需要十秒甚至二十秒。别人只要花半小时完成的作业，他因为读题慢，要多花一倍甚至更多的时间。</w:t>
      </w:r>
    </w:p>
    <w:p w14:paraId="220D4B85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没有人能够随随便便成功，杨艺腾说，自律就是他的法宝。</w:t>
      </w:r>
    </w:p>
    <w:p w14:paraId="45D16BF7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“跟上节奏，老师交代的任务，一定要完成”。从小学开始，即便再晚，杨艺腾都坚持完成老师布置的各项作业。“我常跟他说，完不成就算了。但他总觉得，能努力做到的事情就不要放弃”，杨艺腾的妈妈这样说。</w:t>
      </w:r>
    </w:p>
    <w:p w14:paraId="6A5A8954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三年前，杨艺腾凭借优异的中考成绩，考入秦淮科技高中。</w:t>
      </w:r>
    </w:p>
    <w:p w14:paraId="4BEBF5EC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三年高中生涯，除了固定的座位，没有跟学校提出其他额外的需求，就像小学、初中一样，他慢慢地看、慢慢地写、默默地学，等待着厚积薄发的那一天。</w:t>
      </w:r>
    </w:p>
    <w:p w14:paraId="4963E3C9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“杨艺腾非常自律，对自己严格要求，有时间就埋头整理笔记，没少交过一次作业，每天还借助助视器读报、看书，用一切时间充实自己”，杨艺腾的班主任叶长庚说，用“你有多努力，就有多成功”来形容杨艺腾最合适。</w:t>
      </w:r>
    </w:p>
    <w:p w14:paraId="1DE9ABC5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今年高考，杨艺腾带上手持助视器，使用和普通同学一样的高考试卷，考试时间延长30%。最终，以文科615的高分，被南京师范大学录取。</w:t>
      </w:r>
    </w:p>
    <w:p w14:paraId="576D6E19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走进南京师范大学，杨艺腾开启了全新的生活和学习。</w:t>
      </w:r>
    </w:p>
    <w:p w14:paraId="410FCBF9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回顾自己走过的15年的融合教育之路，杨艺腾说：“融合教育的重点在于融合，就是如何把自己真正地融入到这个学校中，而并不把你自己当成一个例外，这点其实是最难的事情，心态上要真正地融入在一个普通的学习环境中。视力是你需要解决的问题，但它并不是你的阻碍，而你的知识、你的才学才是你的人生关键。”</w:t>
      </w:r>
    </w:p>
    <w:p w14:paraId="3BE8601B">
      <w:pPr>
        <w:widowControl w:val="0"/>
        <w:spacing w:line="30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02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专注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用耳朵代替眼睛</w:t>
      </w:r>
    </w:p>
    <w:p w14:paraId="321A9712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2005年出生的周科然，由于患有视网膜收缩变性，五年级时几乎全盲，六年级转入南京市盲人学校学习。</w:t>
      </w:r>
    </w:p>
    <w:p w14:paraId="58019341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在盲校，周科然的妈妈郑静第一次听老师说，他们可以选择“随班就读”，接受融合教育。</w:t>
      </w:r>
    </w:p>
    <w:p w14:paraId="2E581F2A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在盲校老师的指导下，小升初时，周科然进入南航附中“随班就读”。2021年，周科然考入了南师附中秦淮科技高中。</w:t>
      </w:r>
    </w:p>
    <w:p w14:paraId="63E44A5D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几乎全盲，如何在普通学校上课、写作业？</w:t>
      </w:r>
    </w:p>
    <w:p w14:paraId="79EB0E9B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“我上课不看黑板，听老师讲基本上也能懂，就是专注”，周科然说，专注地听就是他学习的法宝。</w:t>
      </w:r>
    </w:p>
    <w:p w14:paraId="045DCF3B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在周科然的妈妈郑静看来，孩子的这份专注力，其实来之不易。“为了能训练孩子听的能力，从小我就告诉他，一道题目我只读两遍，如果你记不住就只能放弃。也因此，他跟其他孩子在一起上课也能跟上，很多内容他在课堂上就能消化了。”</w:t>
      </w:r>
    </w:p>
    <w:p w14:paraId="552C414A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为了帮助周科然“听”，各科老师上课时，都会把写在黑板上的内容，大声读一遍。而他的同桌也在做题的时候，“养成”了边读边写的习惯。</w:t>
      </w:r>
    </w:p>
    <w:p w14:paraId="1B10FEFA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对于来不及记下的内容，课后，周科然总会借来同学的笔记一一补上。老师也会主动把课件，传给周科然的妈妈，方便她回去读给孩子听。</w:t>
      </w:r>
    </w:p>
    <w:p w14:paraId="0C363AEF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周科然的班主任曹烨说，“他看不见，耳朵就是他的眼睛，所以上课特别专注，就是靠认真听讲，成绩一直非常优秀。”</w:t>
      </w:r>
    </w:p>
    <w:p w14:paraId="60C21066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今年高考，周科然使用的是盲文版试卷，作答时间为普通试卷作答时间的1.5倍。</w:t>
      </w:r>
    </w:p>
    <w:p w14:paraId="0E4A91B5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“很多同学问我，使用盲文卷，数学那些图形题是怎么解答的。其实就是用手摸，一摸我就能感知到是什么样的图形，有些图形需要用到辅助线的，我就在脑子里添加，然后找到解决办法。”</w:t>
      </w:r>
    </w:p>
    <w:p w14:paraId="5132DFAC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天道酬勤，今年高考，周科然取得理科641分的高分，被南京理工大学数学系录取。</w:t>
      </w:r>
    </w:p>
    <w:p w14:paraId="693373E6">
      <w:pPr>
        <w:widowControl w:val="0"/>
        <w:spacing w:line="30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03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普校+盲校资源中心“南京模式”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助力视障孩子圆梦高考</w:t>
      </w:r>
    </w:p>
    <w:p w14:paraId="6776E479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初中阶段：就读于南航附中初级中学</w:t>
      </w:r>
    </w:p>
    <w:p w14:paraId="7340125F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盲文考务支持：12次</w:t>
      </w:r>
    </w:p>
    <w:p w14:paraId="45E99829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打印制作盲文卷：1200余页</w:t>
      </w:r>
    </w:p>
    <w:p w14:paraId="46511564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高中阶段：就读于秦淮科技高中</w:t>
      </w:r>
    </w:p>
    <w:p w14:paraId="0FA70F55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盲文考务支持：12次</w:t>
      </w:r>
    </w:p>
    <w:p w14:paraId="1ABA480E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打印制作盲文卷：1500余页</w:t>
      </w:r>
    </w:p>
    <w:p w14:paraId="4A2175F0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盲文书籍材料支持：高中教材66册，提供盲文资料制作3453页</w:t>
      </w:r>
    </w:p>
    <w:p w14:paraId="7BB142A3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这是一份南京市盲人学校提供给周科然资源支持的清单。初中三年加高中三年，南京市盲人学校为他提供了所有科目的盲文教材。</w:t>
      </w:r>
    </w:p>
    <w:p w14:paraId="02B8F10A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“一些教材可以买得到，但有些苏教版盲人教材是买不到的，需要一本本去翻译”，江苏省视障教育资源中心办公室主任颜涛说。</w:t>
      </w:r>
    </w:p>
    <w:p w14:paraId="0573C504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除此之外，盲校老师们还帮他翻译一些日常学习资料，以及每个学期的期中、期末试卷。</w:t>
      </w:r>
    </w:p>
    <w:p w14:paraId="71524D92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颜涛说：“每次考试都像是一场接力，他妈妈一拿到试卷，就拍照传过来。我们就以最快的速度翻译出来，为他安排考试。考完后，还要将答卷再翻译成汉字，封装后送回去批改。”</w:t>
      </w:r>
    </w:p>
    <w:p w14:paraId="4B4C2D3A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将一份试卷翻译成盲文，需要3—4个小时，所有科目加起来的工作量巨大，每次考试需要20多位老师一起忙碌。而且除了翻译试卷的学科老师，还有转译、校对人员、监考老师参与其中。</w:t>
      </w:r>
    </w:p>
    <w:p w14:paraId="51094520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初、高中6年时间，江苏省视障教育资源中心团队支持周科然参加了24场考试。</w:t>
      </w:r>
    </w:p>
    <w:p w14:paraId="31E5EE7F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周科然说，自己是个“幸运儿”，6年的盲文试卷答题，让他在高考时能够平稳发挥。目前，周科然妈妈把所有由省视障教育资源中心提供的学习资料送到盲校，以供后续需要的同学接力使用。这些资料足足装满6个大纸箱。</w:t>
      </w:r>
    </w:p>
    <w:p w14:paraId="71D10046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“我们淋过雨，也想为其他人打把伞”，周科然妈妈郑静说。</w:t>
      </w:r>
    </w:p>
    <w:p w14:paraId="0EFA83EF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通过普通学校+南京市盲人学校资源中心的模式，周科然“圆梦”走进了高等教育的大门。</w:t>
      </w:r>
    </w:p>
    <w:p w14:paraId="71F06018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据了解，由江苏省教育厅、南京市教育局依托南京市盲人学校创办的省视障教育资源中心成立20年来，已为周科然在内的全省有需要的400多名视障“随班就读”学生，提供大字教材、教辅和盲文资料制作等支持。</w:t>
      </w:r>
    </w:p>
    <w:p w14:paraId="5CCA9D7E">
      <w:pPr>
        <w:widowControl w:val="0"/>
        <w:spacing w:line="30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04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“全国样本”的南京融合教育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Hans"/>
        </w:rPr>
        <w:t>一定会有下一位</w:t>
      </w:r>
    </w:p>
    <w:p w14:paraId="129E56D8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新学期，“小树”成为南京市晓庄第二小学一名二年级的学生。“小树”是一名自闭症儿童，从幼儿园起，他就接受融合教育，和普通孩子一起上学。</w:t>
      </w:r>
    </w:p>
    <w:p w14:paraId="3045CBC0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他的妈妈徐静在网上用“王小树是个大笨蛋”账号，记录了他这些年在融合教育中的点滴成长，收获了无数网友的留言和点赞。</w:t>
      </w:r>
    </w:p>
    <w:p w14:paraId="5A3E5766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徐静说，“这其中就有不少孤独症孩子的家长，大伙儿还建立了一个群，他们在群里就很羡慕我们小树，能进入普通小学就读。还有家长说，要看看小树接受融合教育的情况，考虑要不要搬到南京来生活”。</w:t>
      </w:r>
    </w:p>
    <w:p w14:paraId="7414650A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外地家长羡慕的南京的“随班就读”融合教育，最早起源于31年前。</w:t>
      </w:r>
    </w:p>
    <w:p w14:paraId="49E85E3F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1983年5月，南京市教育局根据联合国教科文组织的建议，在信府河小学、凤凰街小学、宝善街小学，各创办一个智障儿童辅读班，在江苏率先开展了智障儿童教育，这也是南京最早在普校进行特教班的探索。</w:t>
      </w:r>
    </w:p>
    <w:p w14:paraId="0BFFD8DD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从1993年开始，作为普及残障儿童九年义务教育的主要形式，南京积极推进“随班就读”。</w:t>
      </w:r>
    </w:p>
    <w:p w14:paraId="1FE013DF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1996年，南京市教委制定下发了《南京市残疾儿童少年随班就读工作实施意见》，初步进行了第二阶段的有益实践。南京也出现了“随班就读”的听障女孩周婷婷保送上大学，到美国读博士的案例。</w:t>
      </w:r>
    </w:p>
    <w:p w14:paraId="7D968DB0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2015年，南京市被教育部批准为“国家特殊教育改革实验区”。当年10月，南京市全面开启“随班就读”实验工作。市政府、市教育局先后出台了11项政策文件推进随班就读工作。</w:t>
      </w:r>
    </w:p>
    <w:p w14:paraId="6EB5CB4B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2020年4月，“江苏省南京市：切实加强残障儿童少年随班就读工作”，被教育部列为特殊教育工作案例进行推广。</w:t>
      </w:r>
    </w:p>
    <w:p w14:paraId="10EB0FFB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2021年5月，南京市教育局出台了《南京市特殊儿童少年教育安置管理办法（试行）》，进一步规范特殊教育需要儿童少年教育评估安置的方式和流程，坚持做到全覆盖、零拒绝。</w:t>
      </w:r>
    </w:p>
    <w:p w14:paraId="59AC7A18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目前，南京在江苏率先实现15年一贯制特殊教育学校市、区全覆盖，普通学校融合教育资源中心学前、小学、初中学段全覆盖。</w:t>
      </w:r>
    </w:p>
    <w:p w14:paraId="59F80E6D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南京“十四五”规划还明确，到2025年，学前教育阶段特需儿童入园率达到85%以上，义务教育阶段特需学生入学率保持在99%以上，高中阶段特需学生受教育率达到80%以上，并且全部是免费教育。</w:t>
      </w:r>
    </w:p>
    <w:p w14:paraId="643D39D4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特殊儿童少年，在南京不仅“有学上”，还能“上好学”。</w:t>
      </w:r>
    </w:p>
    <w:p w14:paraId="738E5445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2023年5月，《普通学校特殊需要学生课程评估工具》正式发布，让南京特殊需要学生“随班就读”有了“新课标”，弥补了国内在这方面的空白。</w:t>
      </w:r>
    </w:p>
    <w:p w14:paraId="22A05FD6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这套历时6年研制而成的12册工具书，解决普通学校特殊孩子“吃不饱、吃不下和不适应”的问题。</w:t>
      </w:r>
    </w:p>
    <w:p w14:paraId="0C4114FD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“比如，有的孩子以听觉学习为主，有的孩子以视觉学习为主。通过评估后，老师能找到适合每个孩子的一种学习方法。通过这个评估了解以后，老师就能为特殊孩子找到适合他的一些目标和教育方法”，《评估工具》编写团队成员、南京市浦口区特殊教育学校副校长芮代琴说。</w:t>
      </w:r>
    </w:p>
    <w:p w14:paraId="6721AA7C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目前，这套工具书在南京各融合教育实验学校广泛应用，并成为江苏省融合教育教师上岗培训必修课程。有了这个评估工具，每个“随班就读”的特殊孩子，都能够得到更有针对性的帮扶和教育，天赋和潜能也能更好地被激发。</w:t>
      </w:r>
    </w:p>
    <w:p w14:paraId="2AF20AA3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每年，南京还会开展融合教育示范校、融合教育最美教师评选，以及教师教学基本功大赛。</w:t>
      </w:r>
    </w:p>
    <w:p w14:paraId="646B75F8">
      <w:pPr>
        <w:widowControl w:val="0"/>
        <w:spacing w:line="30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Hans"/>
        </w:rPr>
        <w:t>同时，常态化、分学段举办融合教育示范校现场会、教学能手课堂观摩活动，促进教师转变观念，改进课堂教学，提升融合教育育人质量，让更多“随班就读”的孩子“上好学”。</w:t>
      </w:r>
    </w:p>
    <w:p w14:paraId="5E372DEB">
      <w:pPr>
        <w:widowControl/>
        <w:shd w:val="clear" w:color="auto" w:fill="FFFFFF"/>
        <w:spacing w:line="480" w:lineRule="atLeast"/>
        <w:jc w:val="left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5" w:type="even"/>
      <w:pgSz w:w="11906" w:h="16838"/>
      <w:pgMar w:top="1098" w:right="1474" w:bottom="1660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3">
    <w:altName w:val="Symbol"/>
    <w:panose1 w:val="050401020108070707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A2590">
    <w:pPr>
      <w:spacing w:after="2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AB4C7D"/>
    <w:rsid w:val="171750B3"/>
    <w:rsid w:val="492A0B54"/>
    <w:rsid w:val="6B4B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uiPriority w:val="99"/>
    <w:rPr>
      <w:rFonts w:cs="Times New Roman"/>
      <w:color w:val="0000FF"/>
      <w:u w:val="single"/>
    </w:rPr>
  </w:style>
  <w:style w:type="character" w:customStyle="1" w:styleId="9">
    <w:name w:val="批注框文本 Char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link w:val="3"/>
    <w:locked/>
    <w:uiPriority w:val="99"/>
    <w:rPr>
      <w:rFonts w:cs="Times New Roman"/>
      <w:sz w:val="18"/>
      <w:szCs w:val="18"/>
    </w:rPr>
  </w:style>
  <w:style w:type="character" w:customStyle="1" w:styleId="11">
    <w:name w:val="页眉 Char"/>
    <w:link w:val="4"/>
    <w:locked/>
    <w:uiPriority w:val="99"/>
    <w:rPr>
      <w:rFonts w:cs="Times New Roman"/>
      <w:sz w:val="18"/>
      <w:szCs w:val="18"/>
    </w:rPr>
  </w:style>
  <w:style w:type="paragraph" w:customStyle="1" w:styleId="12">
    <w:name w:val="Table Paragraph"/>
    <w:basedOn w:val="1"/>
    <w:uiPriority w:val="99"/>
    <w:pPr>
      <w:framePr w:hSpace="180" w:wrap="around" w:vAnchor="page" w:hAnchor="page" w:xAlign="center" w:y="3497"/>
      <w:spacing w:line="320" w:lineRule="exact"/>
      <w:jc w:val="left"/>
    </w:pPr>
    <w:rPr>
      <w:rFonts w:ascii="宋体" w:hAnsi="宋体" w:eastAsia="宋体"/>
      <w:sz w:val="24"/>
      <w:szCs w:val="24"/>
      <w:lang w:val="zh-CN"/>
    </w:rPr>
  </w:style>
  <w:style w:type="table" w:customStyle="1" w:styleId="13">
    <w:name w:val="Table Normal1"/>
    <w:uiPriority w:val="99"/>
    <w:pPr>
      <w:spacing w:after="160" w:line="278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页眉与页脚"/>
    <w:qFormat/>
    <w:uiPriority w:val="99"/>
    <w:pPr>
      <w:tabs>
        <w:tab w:val="right" w:pos="9020"/>
      </w:tabs>
      <w:spacing w:after="160" w:line="278" w:lineRule="auto"/>
    </w:pPr>
    <w:rPr>
      <w:rFonts w:ascii="Wingdings 3" w:hAnsi="Wingdings 3" w:eastAsia="宋体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629</Words>
  <Characters>702</Characters>
  <Lines>5</Lines>
  <Paragraphs>1</Paragraphs>
  <TotalTime>6</TotalTime>
  <ScaleCrop>false</ScaleCrop>
  <LinksUpToDate>false</LinksUpToDate>
  <CharactersWithSpaces>729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2025-02-05T19:33:00Z</dcterms:created>
  <dc:creator>xhuser</dc:creator>
  <cp:lastModifiedBy>袁若航</cp:lastModifiedBy>
  <cp:lastPrinted>2025-01-13T22:21:00Z</cp:lastPrinted>
  <dcterms:modified xsi:type="dcterms:W3CDTF">2025-02-06T02:47:09Z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CDBBD5F3FF13461E9A8E14D6FA8FD44E_13</vt:lpwstr>
  </property>
  <property fmtid="{D5CDD505-2E9C-101B-9397-08002B2CF9AE}" pid="4" name="KSOTemplateDocerSaveRecord">
    <vt:lpwstr>eyJoZGlkIjoiMzc0MzMyMDhhNzFhMGQwNGZmNzViODIxYzQwZGU3Y2MiLCJ1c2VySWQiOiI3Mzg0NjU5MzgifQ==</vt:lpwstr>
  </property>
</Properties>
</file>